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D1" w:rsidRPr="008505B3" w:rsidRDefault="002352D1" w:rsidP="002352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2"/>
      <w:bookmarkEnd w:id="0"/>
      <w:r w:rsidRPr="008505B3">
        <w:rPr>
          <w:rFonts w:ascii="Times New Roman" w:hAnsi="Times New Roman" w:cs="Times New Roman"/>
          <w:sz w:val="28"/>
          <w:szCs w:val="28"/>
        </w:rPr>
        <w:t>Фор</w:t>
      </w:r>
      <w:bookmarkStart w:id="1" w:name="_GoBack"/>
      <w:bookmarkEnd w:id="1"/>
      <w:r w:rsidRPr="008505B3">
        <w:rPr>
          <w:rFonts w:ascii="Times New Roman" w:hAnsi="Times New Roman" w:cs="Times New Roman"/>
          <w:sz w:val="28"/>
          <w:szCs w:val="28"/>
        </w:rPr>
        <w:t>ма Плана (программы)</w:t>
      </w:r>
    </w:p>
    <w:p w:rsidR="002352D1" w:rsidRPr="008505B3" w:rsidRDefault="002352D1" w:rsidP="002352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56"/>
      </w:tblGrid>
      <w:tr w:rsidR="002352D1" w:rsidRPr="008505B3" w:rsidTr="002E0F1B">
        <w:trPr>
          <w:jc w:val="center"/>
        </w:trPr>
        <w:tc>
          <w:tcPr>
            <w:tcW w:w="9062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Сведения о предприятии</w:t>
            </w: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</w:t>
            </w: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егистрационный номер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государственного </w:t>
            </w: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регистрационного номера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3. Юридический адрес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4. Место нахождения юридического лица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5. Почтовый адрес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8. Размер уставного фонда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10. Телефон (факс)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11. Адрес электронной почты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9062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предприятия</w:t>
            </w: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номер трудового договора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47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05B3">
              <w:rPr>
                <w:rFonts w:ascii="Times New Roman" w:hAnsi="Times New Roman" w:cs="Times New Roman"/>
                <w:sz w:val="28"/>
                <w:szCs w:val="28"/>
              </w:rPr>
              <w:t>15. Телефон (факс)</w:t>
            </w:r>
          </w:p>
        </w:tc>
        <w:tc>
          <w:tcPr>
            <w:tcW w:w="435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Default="002352D1" w:rsidP="002352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D1" w:rsidRPr="008505B3" w:rsidRDefault="002352D1" w:rsidP="00AA5B5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lastRenderedPageBreak/>
        <w:t>Раздел I. Краткая характеристика хода реализации Плана</w:t>
      </w:r>
    </w:p>
    <w:p w:rsidR="002352D1" w:rsidRPr="008505B3" w:rsidRDefault="002352D1" w:rsidP="00AA5B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(программы) финансово-хозяйственной деятельности предприятия</w:t>
      </w:r>
    </w:p>
    <w:p w:rsidR="002352D1" w:rsidRPr="008505B3" w:rsidRDefault="002352D1" w:rsidP="00AA5B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в предыдущем году и в первом квартале текущего года</w:t>
      </w:r>
    </w:p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8505B3" w:rsidRDefault="002352D1" w:rsidP="00AA5B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Раздел II. Мероприятия по развитию предприятия</w:t>
      </w:r>
    </w:p>
    <w:p w:rsidR="002352D1" w:rsidRPr="008505B3" w:rsidRDefault="002352D1" w:rsidP="002352D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034"/>
        <w:gridCol w:w="384"/>
        <w:gridCol w:w="1198"/>
        <w:gridCol w:w="827"/>
        <w:gridCol w:w="660"/>
        <w:gridCol w:w="660"/>
        <w:gridCol w:w="705"/>
        <w:gridCol w:w="660"/>
        <w:gridCol w:w="960"/>
        <w:gridCol w:w="1149"/>
        <w:gridCol w:w="1052"/>
      </w:tblGrid>
      <w:tr w:rsidR="002352D1" w:rsidRPr="008505B3" w:rsidTr="002E0F1B">
        <w:trPr>
          <w:jc w:val="center"/>
        </w:trPr>
        <w:tc>
          <w:tcPr>
            <w:tcW w:w="634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352D1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1198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12" w:type="dxa"/>
            <w:gridSpan w:val="5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3161" w:type="dxa"/>
            <w:gridSpan w:val="3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6"/>
            <w:bookmarkEnd w:id="2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год - всего</w:t>
            </w:r>
          </w:p>
        </w:tc>
        <w:tc>
          <w:tcPr>
            <w:tcW w:w="2685" w:type="dxa"/>
            <w:gridSpan w:val="4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Планируемый год</w:t>
            </w:r>
          </w:p>
        </w:tc>
        <w:tc>
          <w:tcPr>
            <w:tcW w:w="1149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Год, следующий за планируемым</w:t>
            </w:r>
          </w:p>
        </w:tc>
        <w:tc>
          <w:tcPr>
            <w:tcW w:w="1052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Второй год, следующий за планируемым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60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7"/>
            <w:bookmarkEnd w:id="3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 Снабженческо-сбытовая сфера</w:t>
            </w:r>
          </w:p>
        </w:tc>
      </w:tr>
      <w:tr w:rsidR="002352D1" w:rsidRPr="008505B3" w:rsidTr="002E0F1B">
        <w:trPr>
          <w:jc w:val="center"/>
        </w:trPr>
        <w:tc>
          <w:tcPr>
            <w:tcW w:w="9923" w:type="dxa"/>
            <w:gridSpan w:val="1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1.3. Повышение квалификации кадров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76"/>
            <w:bookmarkEnd w:id="4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 Производственная сфера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2.3. Повышение квалификации кадров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04"/>
            <w:bookmarkEnd w:id="5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 Финансово-инвестиционная сфера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3.3. Повышение квалификации кадров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32"/>
            <w:bookmarkEnd w:id="6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 Социальная сфера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634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11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4.3. Повышение квалификации кадров</w:t>
            </w: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всем мероприятиям, 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счет: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2D1" w:rsidRPr="008505B3" w:rsidTr="002E0F1B">
        <w:trPr>
          <w:jc w:val="center"/>
        </w:trPr>
        <w:tc>
          <w:tcPr>
            <w:tcW w:w="3250" w:type="dxa"/>
            <w:gridSpan w:val="4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2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Графы со знаком «x» не заполняются.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Примечания: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1. В </w:t>
      </w:r>
      <w:hyperlink w:anchor="P247" w:history="1">
        <w:r w:rsidRPr="008505B3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Pr="008505B3">
        <w:rPr>
          <w:rFonts w:ascii="Times New Roman" w:hAnsi="Times New Roman" w:cs="Times New Roman"/>
          <w:sz w:val="28"/>
          <w:szCs w:val="28"/>
        </w:rPr>
        <w:t xml:space="preserve"> «Снабженческо-сбытовая сфера» включаются следующие мероприятия: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развитие деятельности по закупке материалов, сырья </w:t>
      </w:r>
      <w:r w:rsidR="00AA5B52">
        <w:rPr>
          <w:rFonts w:ascii="Times New Roman" w:hAnsi="Times New Roman" w:cs="Times New Roman"/>
          <w:sz w:val="28"/>
          <w:szCs w:val="28"/>
        </w:rPr>
        <w:br/>
      </w:r>
      <w:r w:rsidRPr="008505B3">
        <w:rPr>
          <w:rFonts w:ascii="Times New Roman" w:hAnsi="Times New Roman" w:cs="Times New Roman"/>
          <w:sz w:val="28"/>
          <w:szCs w:val="28"/>
        </w:rPr>
        <w:t>и полуфабрикатов для производства продукции (работ, услуг);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развитие транспортно-складского хозяйства;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повышение конкурентоспособности;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развитие рынков и привлечение новых потребителей.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376" w:history="1">
        <w:r w:rsidRPr="008505B3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Pr="008505B3">
        <w:rPr>
          <w:rFonts w:ascii="Times New Roman" w:hAnsi="Times New Roman" w:cs="Times New Roman"/>
          <w:sz w:val="28"/>
          <w:szCs w:val="28"/>
        </w:rPr>
        <w:t xml:space="preserve"> «Производственная сфера» включаются следующие мероприятия: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техническое оснащение и перевооружение производства продукции </w:t>
      </w:r>
      <w:r w:rsidR="002E0F1B">
        <w:rPr>
          <w:rFonts w:ascii="Times New Roman" w:hAnsi="Times New Roman" w:cs="Times New Roman"/>
          <w:sz w:val="28"/>
          <w:szCs w:val="28"/>
        </w:rPr>
        <w:t>(</w:t>
      </w:r>
      <w:r w:rsidRPr="008505B3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совершенствование действующих технологий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B3">
        <w:rPr>
          <w:rFonts w:ascii="Times New Roman" w:hAnsi="Times New Roman" w:cs="Times New Roman"/>
          <w:sz w:val="28"/>
          <w:szCs w:val="28"/>
        </w:rPr>
        <w:t>и внедрение новых;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консервация, списание и отчуждение незадействованных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B3">
        <w:rPr>
          <w:rFonts w:ascii="Times New Roman" w:hAnsi="Times New Roman" w:cs="Times New Roman"/>
          <w:sz w:val="28"/>
          <w:szCs w:val="28"/>
        </w:rPr>
        <w:t>и изношенных производственных мощностей;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разработка и совершенствование производственных программ, внедрение программ перепрофилирования;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снижение материалоемкости, энергоемкости и </w:t>
      </w:r>
      <w:proofErr w:type="spellStart"/>
      <w:r w:rsidRPr="008505B3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8505B3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обеспечение охраны труда и экологической безопасности производства.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504" w:history="1">
        <w:r w:rsidRPr="008505B3">
          <w:rPr>
            <w:rFonts w:ascii="Times New Roman" w:hAnsi="Times New Roman" w:cs="Times New Roman"/>
            <w:sz w:val="28"/>
            <w:szCs w:val="28"/>
          </w:rPr>
          <w:t>подраздел 3</w:t>
        </w:r>
      </w:hyperlink>
      <w:r w:rsidRPr="008505B3">
        <w:rPr>
          <w:rFonts w:ascii="Times New Roman" w:hAnsi="Times New Roman" w:cs="Times New Roman"/>
          <w:sz w:val="28"/>
          <w:szCs w:val="28"/>
        </w:rPr>
        <w:t xml:space="preserve"> «Финансово-инвестиционная сфера» включаются следующие мероприятия: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оптимизация структуры активов предприятия и обеспечение финансовой устойчивости предприятия;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совершенствование механизма привлечения и использования кредитных ресурсов;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предприятия;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совершенствование налогового планирования и оптимизация налогообложения;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lastRenderedPageBreak/>
        <w:t>совершенствование учетной политики;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повышение эффективности долгосрочных и краткосрочных финансовых вложений предприятия;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снижение издержек;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повышение рентабельности.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632" w:history="1">
        <w:r w:rsidRPr="008505B3">
          <w:rPr>
            <w:rFonts w:ascii="Times New Roman" w:hAnsi="Times New Roman" w:cs="Times New Roman"/>
            <w:sz w:val="28"/>
            <w:szCs w:val="28"/>
          </w:rPr>
          <w:t>подраздел 4</w:t>
        </w:r>
      </w:hyperlink>
      <w:r w:rsidRPr="008505B3">
        <w:rPr>
          <w:rFonts w:ascii="Times New Roman" w:hAnsi="Times New Roman" w:cs="Times New Roman"/>
          <w:sz w:val="28"/>
          <w:szCs w:val="28"/>
        </w:rPr>
        <w:t xml:space="preserve"> «Социальная сфера» включаются следующие мероприятия: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оптимизация затрат на содержание лечебно-оздоровительной, культурной и жилищно-коммунальной сферы.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236" w:history="1">
        <w:r w:rsidRPr="008505B3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505B3">
        <w:rPr>
          <w:rFonts w:ascii="Times New Roman" w:hAnsi="Times New Roman" w:cs="Times New Roman"/>
          <w:sz w:val="28"/>
          <w:szCs w:val="28"/>
        </w:rPr>
        <w:t xml:space="preserve"> «Ожидаемый эффект»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B3">
        <w:rPr>
          <w:rFonts w:ascii="Times New Roman" w:hAnsi="Times New Roman" w:cs="Times New Roman"/>
          <w:sz w:val="28"/>
          <w:szCs w:val="28"/>
        </w:rPr>
        <w:t>и во втором году, следующем за планируемым.</w:t>
      </w:r>
    </w:p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Default="002352D1" w:rsidP="002352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D1" w:rsidRPr="008505B3" w:rsidRDefault="002352D1" w:rsidP="00AA5B5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lastRenderedPageBreak/>
        <w:t>Раздел III. Бюджет предприятия на планируемый период</w:t>
      </w:r>
    </w:p>
    <w:p w:rsidR="002352D1" w:rsidRPr="008505B3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(финансовое обеспечение программы)</w:t>
      </w:r>
    </w:p>
    <w:p w:rsidR="002352D1" w:rsidRPr="008505B3" w:rsidRDefault="002352D1" w:rsidP="002352D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742"/>
        <w:gridCol w:w="806"/>
        <w:gridCol w:w="850"/>
        <w:gridCol w:w="850"/>
        <w:gridCol w:w="850"/>
        <w:gridCol w:w="850"/>
      </w:tblGrid>
      <w:tr w:rsidR="002352D1" w:rsidRPr="008505B3" w:rsidTr="002E0F1B">
        <w:trPr>
          <w:jc w:val="center"/>
        </w:trPr>
        <w:tc>
          <w:tcPr>
            <w:tcW w:w="1123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42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4206" w:type="dxa"/>
            <w:gridSpan w:val="5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I. Доходы предприятия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Доходы предприятия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Операционные доходы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13112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13113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13130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13131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13132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13133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разницы, суммы </w:t>
            </w:r>
            <w:proofErr w:type="spellStart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дооценки</w:t>
            </w:r>
            <w:proofErr w:type="spellEnd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принятие к учету излишнего имущества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Чрезвычайные доходы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13301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13302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13502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13503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II. Расходы предприятия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Расходы предприятия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2.1. Капитальные расходы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2.1.1. Направления расходов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1123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2.2. Текущие расходы</w:t>
            </w: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22420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22502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22503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Расчеты с бюджетом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22701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от прибыли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ого округа Химки Московской области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112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742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2352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lastRenderedPageBreak/>
        <w:t>Раздел IV. Показатели финансово-хозяйственной деятельности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предприятия на планируемый период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1. Показатели финансово-хозяйственной деятельности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на _________________________ год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(планируемый период)</w:t>
      </w:r>
    </w:p>
    <w:p w:rsidR="002352D1" w:rsidRPr="008505B3" w:rsidRDefault="002352D1" w:rsidP="002352D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ого округа Химки Московской области» </w:t>
            </w:r>
            <w:hyperlink w:anchor="P1433" w:history="1">
              <w:r w:rsidRPr="008505B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52D1" w:rsidRPr="008505B3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3"/>
      <w:bookmarkEnd w:id="7"/>
      <w:r w:rsidRPr="008505B3">
        <w:rPr>
          <w:rFonts w:ascii="Times New Roman" w:hAnsi="Times New Roman" w:cs="Times New Roman"/>
          <w:sz w:val="28"/>
          <w:szCs w:val="28"/>
        </w:rPr>
        <w:t xml:space="preserve">&lt;*&gt; указывается часть прибыли предприятия, подлежащая перечислению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8505B3">
        <w:rPr>
          <w:rFonts w:ascii="Times New Roman" w:hAnsi="Times New Roman" w:cs="Times New Roman"/>
          <w:sz w:val="28"/>
          <w:szCs w:val="28"/>
        </w:rPr>
        <w:t>ого округа Химки Московской области по итогам деятельности предприятия.</w:t>
      </w:r>
    </w:p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2. Дополнительные показатели финансово-хозяйственной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и производственной деятельности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2352D1" w:rsidRPr="008505B3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на _________________________ год</w:t>
      </w:r>
    </w:p>
    <w:p w:rsidR="002352D1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B3">
        <w:rPr>
          <w:rFonts w:ascii="Times New Roman" w:hAnsi="Times New Roman" w:cs="Times New Roman"/>
          <w:sz w:val="28"/>
          <w:szCs w:val="28"/>
        </w:rPr>
        <w:t>(планируемый период)</w:t>
      </w:r>
    </w:p>
    <w:p w:rsidR="00060729" w:rsidRPr="008505B3" w:rsidRDefault="00060729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натуральном выражении по основным видам деятельности (в соответствующих единицах измерения)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52D1" w:rsidRPr="008505B3" w:rsidRDefault="002352D1" w:rsidP="002352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52D1" w:rsidRPr="008505B3" w:rsidRDefault="002352D1" w:rsidP="002352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52D1" w:rsidRPr="00175EAB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3. Прогноз показателей деятельности</w:t>
      </w:r>
    </w:p>
    <w:p w:rsidR="002352D1" w:rsidRPr="00175EAB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52D1" w:rsidRPr="00175EAB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2352D1" w:rsidRPr="00175EAB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на ______________________________________ годы</w:t>
      </w:r>
    </w:p>
    <w:p w:rsidR="002352D1" w:rsidRPr="00175EAB" w:rsidRDefault="002352D1" w:rsidP="00AA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(два года, следующие за планируемым)</w:t>
      </w:r>
    </w:p>
    <w:p w:rsidR="002352D1" w:rsidRPr="008505B3" w:rsidRDefault="002352D1" w:rsidP="002352D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05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098"/>
        <w:gridCol w:w="2268"/>
      </w:tblGrid>
      <w:tr w:rsidR="002352D1" w:rsidRPr="008505B3" w:rsidTr="002E0F1B">
        <w:trPr>
          <w:jc w:val="center"/>
        </w:trPr>
        <w:tc>
          <w:tcPr>
            <w:tcW w:w="6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___________ год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2268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_____________ год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2352D1" w:rsidRPr="008505B3" w:rsidTr="002E0F1B">
        <w:trPr>
          <w:jc w:val="center"/>
        </w:trPr>
        <w:tc>
          <w:tcPr>
            <w:tcW w:w="6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20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6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Химки Московской области» </w:t>
            </w:r>
            <w:hyperlink w:anchor="P1543" w:history="1">
              <w:r w:rsidRPr="008505B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3"/>
      <w:bookmarkEnd w:id="8"/>
      <w:r w:rsidRPr="00175EAB">
        <w:rPr>
          <w:rFonts w:ascii="Times New Roman" w:hAnsi="Times New Roman" w:cs="Times New Roman"/>
          <w:sz w:val="28"/>
          <w:szCs w:val="28"/>
        </w:rPr>
        <w:t>&lt;*&gt; указывается часть прибыли предприятия, подлежащая перечислению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 в данном году по итогам деятельности предприятия за предшествующий год.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Примечания: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1. Дополнительные показатели деятельности предприятия могут устанавливаться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 в отношении предприятий, производящих важнейшую (стратегическую) продукцию (работы, услуги).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Планируемые допол</w:t>
      </w:r>
      <w:r>
        <w:rPr>
          <w:rFonts w:ascii="Times New Roman" w:hAnsi="Times New Roman" w:cs="Times New Roman"/>
          <w:sz w:val="28"/>
          <w:szCs w:val="28"/>
        </w:rPr>
        <w:t>нительные показатели реализации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в натуральном выражении могут устанавливаться по 3-5 основным видам продукции (работ, услуг).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2. Значения плановых показателей указываются поквартально.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3. Прогноз показателей экономической эффективности деятельности предприятия на два года, следующие за планируемым, определяется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из ожидаемого эффекта реализации</w:t>
      </w:r>
      <w:r w:rsidR="00AA5B52">
        <w:rPr>
          <w:rFonts w:ascii="Times New Roman" w:hAnsi="Times New Roman" w:cs="Times New Roman"/>
          <w:sz w:val="28"/>
          <w:szCs w:val="28"/>
        </w:rPr>
        <w:t xml:space="preserve"> мероприятий плана (программы</w:t>
      </w:r>
      <w:proofErr w:type="gramStart"/>
      <w:r w:rsidR="00AA5B52">
        <w:rPr>
          <w:rFonts w:ascii="Times New Roman" w:hAnsi="Times New Roman" w:cs="Times New Roman"/>
          <w:sz w:val="28"/>
          <w:szCs w:val="28"/>
        </w:rPr>
        <w:t>),</w:t>
      </w:r>
      <w:r w:rsidR="00AA5B52"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5EAB">
        <w:rPr>
          <w:rFonts w:ascii="Times New Roman" w:hAnsi="Times New Roman" w:cs="Times New Roman"/>
          <w:sz w:val="28"/>
          <w:szCs w:val="28"/>
        </w:rPr>
        <w:t xml:space="preserve"> также прогнозов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4. Часть прибыли муниципальных предприятий, остающаяся после уплаты ими налогов и иных обязательных платежей, подлежащая перечислению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 (далее - часть прибыли, подлежащая перечислению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 xml:space="preserve">ородского округа Химки Московской области), исчисляется предприятием ежеквартально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 xml:space="preserve">по итогам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B">
        <w:rPr>
          <w:rFonts w:ascii="Times New Roman" w:hAnsi="Times New Roman" w:cs="Times New Roman"/>
          <w:sz w:val="28"/>
          <w:szCs w:val="28"/>
        </w:rPr>
        <w:t xml:space="preserve">за I квартал, полугодие, девять месяцев, год на основании данных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с учетом установленного размера отчислений от прибыли.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Для расчета части прибыли, подлежащей перечислению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области, берется чистая прибыль (нераспределенная прибыль) предприятия по данным бухгалтерской отчетности (</w:t>
      </w:r>
      <w:hyperlink r:id="rId5" w:history="1">
        <w:r w:rsidRPr="00175EA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75EAB">
        <w:rPr>
          <w:rFonts w:ascii="Times New Roman" w:hAnsi="Times New Roman" w:cs="Times New Roman"/>
          <w:sz w:val="28"/>
          <w:szCs w:val="28"/>
        </w:rPr>
        <w:t xml:space="preserve"> о финансовых результатах, рекомендованный приказом Министерства финансов Российской Федерации от 02.07.2010 № 66н «О формах бухгалтерской отчетности организаций») (далее - Отчет о финансовых результатах).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Муниципальные предприятия, применяющие упрощенную систему налогообложения, для расчета части прибыли, подлежащей перечислению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 xml:space="preserve">ородского округа Химки Московской области, заполняют </w:t>
      </w:r>
      <w:hyperlink r:id="rId6" w:history="1">
        <w:r w:rsidRPr="00175EA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75EAB">
        <w:rPr>
          <w:rFonts w:ascii="Times New Roman" w:hAnsi="Times New Roman" w:cs="Times New Roman"/>
          <w:sz w:val="28"/>
          <w:szCs w:val="28"/>
        </w:rPr>
        <w:t xml:space="preserve"> о финансовых результатах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и представляют его в исполнительный орган в порядке и сроки, устанавливаемые нормативными правовыми актами муниципального образования Московской области.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Размер части прибыли, подлежащей перечислению в бюд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области, устанавливается нормативными правовыми актами муниципального образования Московской области.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Если рассчитанная сумма платежа за соответствующий отчетный период отрицательна или равна нулю, указанные платежи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5EAB">
        <w:rPr>
          <w:rFonts w:ascii="Times New Roman" w:hAnsi="Times New Roman" w:cs="Times New Roman"/>
          <w:sz w:val="28"/>
          <w:szCs w:val="28"/>
        </w:rPr>
        <w:t>в соответствующем периоде не осуществляются, а при расчете суммы платежа в последующих периодах не учитываются.</w:t>
      </w:r>
    </w:p>
    <w:p w:rsidR="002352D1" w:rsidRPr="00175EAB" w:rsidRDefault="002352D1" w:rsidP="000607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г</w:t>
      </w:r>
      <w:r w:rsidRPr="00175EAB">
        <w:rPr>
          <w:rFonts w:ascii="Times New Roman" w:hAnsi="Times New Roman" w:cs="Times New Roman"/>
          <w:sz w:val="28"/>
          <w:szCs w:val="28"/>
        </w:rPr>
        <w:t>ородского округа Химки Московской области» ранее уплаченных сумм не производятся.</w:t>
      </w:r>
    </w:p>
    <w:p w:rsidR="002352D1" w:rsidRPr="00175EAB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175EAB" w:rsidRDefault="002352D1" w:rsidP="002352D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B">
        <w:rPr>
          <w:rFonts w:ascii="Times New Roman" w:hAnsi="Times New Roman" w:cs="Times New Roman"/>
          <w:sz w:val="28"/>
          <w:szCs w:val="28"/>
        </w:rPr>
        <w:br w:type="page"/>
      </w:r>
    </w:p>
    <w:p w:rsidR="002352D1" w:rsidRPr="00175EAB" w:rsidRDefault="002352D1" w:rsidP="00AA5B5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lastRenderedPageBreak/>
        <w:t>Раздел V. Показатели финансового состояния предприятия</w:t>
      </w:r>
    </w:p>
    <w:p w:rsidR="002352D1" w:rsidRPr="00175EAB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на планируемый период</w:t>
      </w:r>
    </w:p>
    <w:p w:rsidR="002352D1" w:rsidRPr="00175EAB" w:rsidRDefault="002352D1" w:rsidP="00AA5B5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1. Показатели финансового состояния</w:t>
      </w:r>
    </w:p>
    <w:p w:rsidR="002352D1" w:rsidRPr="00175EAB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352D1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на ____________ годы</w:t>
      </w:r>
    </w:p>
    <w:p w:rsidR="00060729" w:rsidRPr="00175EAB" w:rsidRDefault="00060729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1659"/>
        <w:gridCol w:w="1843"/>
        <w:gridCol w:w="1701"/>
        <w:gridCol w:w="850"/>
        <w:gridCol w:w="824"/>
        <w:gridCol w:w="891"/>
        <w:gridCol w:w="919"/>
      </w:tblGrid>
      <w:tr w:rsidR="002352D1" w:rsidRPr="008505B3" w:rsidTr="002E0F1B">
        <w:tc>
          <w:tcPr>
            <w:tcW w:w="609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1" w:type="dxa"/>
            <w:vMerge w:val="restart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Пороговое значение</w:t>
            </w:r>
          </w:p>
        </w:tc>
        <w:tc>
          <w:tcPr>
            <w:tcW w:w="3484" w:type="dxa"/>
            <w:gridSpan w:val="4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52D1" w:rsidRPr="008505B3" w:rsidTr="002E0F1B">
        <w:tc>
          <w:tcPr>
            <w:tcW w:w="609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52D1" w:rsidRPr="008505B3" w:rsidRDefault="002352D1" w:rsidP="002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ind w:left="-62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ind w:left="-62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ind w:left="-62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ind w:left="-62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c>
          <w:tcPr>
            <w:tcW w:w="609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gridSpan w:val="7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Оборотные активы / краткосрочные обязательства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0,3-0,7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c>
          <w:tcPr>
            <w:tcW w:w="609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gridSpan w:val="7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Показатель финансовой устойчивости предприятия</w:t>
            </w: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Оборотные активы + краткосрочные обязательства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 Чистый оборотный капитал допустимый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/ заемный капитал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&gt;= 1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/ валюта баланса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&gt;= 0,5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c>
          <w:tcPr>
            <w:tcW w:w="609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gridSpan w:val="7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Показатель рентабельности предприятия</w:t>
            </w: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активов x 100%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</w:t>
            </w:r>
            <w:r w:rsidR="0087419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 Химки Московской области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оборотных активов x 100%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</w:t>
            </w:r>
            <w:r w:rsidR="0087419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 Химки Московской области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/ средняя величина собственного капитала x 100%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</w:t>
            </w:r>
            <w:r w:rsidR="0087419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 Химки Московской области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c>
          <w:tcPr>
            <w:tcW w:w="60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1843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Чистая прибыль / выручка от реализации продукции x 100%</w:t>
            </w:r>
          </w:p>
        </w:tc>
        <w:tc>
          <w:tcPr>
            <w:tcW w:w="1701" w:type="dxa"/>
          </w:tcPr>
          <w:p w:rsidR="002352D1" w:rsidRPr="008505B3" w:rsidRDefault="002352D1" w:rsidP="002E0F1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отраслевым органом </w:t>
            </w:r>
            <w:r w:rsidR="0087419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 Химки Московской области</w:t>
            </w:r>
          </w:p>
        </w:tc>
        <w:tc>
          <w:tcPr>
            <w:tcW w:w="85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2352D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52D1" w:rsidRPr="00175EAB" w:rsidRDefault="002352D1" w:rsidP="00AA5B5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2. Прогноз показателей финансового состояния</w:t>
      </w:r>
    </w:p>
    <w:p w:rsidR="002352D1" w:rsidRPr="00175EAB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352D1" w:rsidRDefault="002352D1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на ____________ годы</w:t>
      </w:r>
    </w:p>
    <w:p w:rsidR="00060729" w:rsidRPr="00175EAB" w:rsidRDefault="00060729" w:rsidP="00AA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455"/>
        <w:gridCol w:w="2160"/>
      </w:tblGrid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____________ год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(год, следующий за планируемым)</w:t>
            </w: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 год</w:t>
            </w:r>
          </w:p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(второй год, следующий за планируемым)</w:t>
            </w: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2352D1" w:rsidRPr="008505B3" w:rsidTr="002E0F1B">
        <w:trPr>
          <w:trHeight w:val="456"/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устойчивости предприятия</w:t>
            </w: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предприятия</w:t>
            </w:r>
          </w:p>
        </w:tc>
      </w:tr>
      <w:tr w:rsidR="002352D1" w:rsidRPr="008505B3" w:rsidTr="002E0F1B">
        <w:trPr>
          <w:trHeight w:val="397"/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trHeight w:val="433"/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D1" w:rsidRPr="008505B3" w:rsidTr="002E0F1B">
        <w:trPr>
          <w:jc w:val="center"/>
        </w:trPr>
        <w:tc>
          <w:tcPr>
            <w:tcW w:w="737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455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52D1" w:rsidRPr="008505B3" w:rsidRDefault="002352D1" w:rsidP="002E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5758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Раздел VI. Сведения о кредитах и займах предприятия</w:t>
      </w:r>
    </w:p>
    <w:p w:rsidR="00060729" w:rsidRPr="00175EAB" w:rsidRDefault="00060729" w:rsidP="005758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1560"/>
        <w:gridCol w:w="1417"/>
        <w:gridCol w:w="992"/>
        <w:gridCol w:w="1134"/>
        <w:gridCol w:w="1647"/>
        <w:gridCol w:w="1614"/>
        <w:gridCol w:w="708"/>
      </w:tblGrid>
      <w:tr w:rsidR="002352D1" w:rsidRPr="008505B3" w:rsidTr="002E0F1B">
        <w:tc>
          <w:tcPr>
            <w:tcW w:w="926" w:type="dxa"/>
          </w:tcPr>
          <w:p w:rsidR="002352D1" w:rsidRPr="008505B3" w:rsidRDefault="002352D1" w:rsidP="002E0F1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352D1" w:rsidRPr="008505B3" w:rsidRDefault="002352D1" w:rsidP="002E0F1B">
            <w:pPr>
              <w:pStyle w:val="ConsPlusNormal"/>
              <w:ind w:left="-12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17" w:type="dxa"/>
          </w:tcPr>
          <w:p w:rsidR="002352D1" w:rsidRPr="008505B3" w:rsidRDefault="002352D1" w:rsidP="002E0F1B">
            <w:pPr>
              <w:pStyle w:val="ConsPlusNormal"/>
              <w:ind w:left="-12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Сумма кредита или займа (тыс. руб.)</w:t>
            </w:r>
          </w:p>
        </w:tc>
        <w:tc>
          <w:tcPr>
            <w:tcW w:w="992" w:type="dxa"/>
          </w:tcPr>
          <w:p w:rsidR="002352D1" w:rsidRPr="008505B3" w:rsidRDefault="002352D1" w:rsidP="002E0F1B">
            <w:pPr>
              <w:pStyle w:val="ConsPlusNormal"/>
              <w:ind w:left="-3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134" w:type="dxa"/>
          </w:tcPr>
          <w:p w:rsidR="002352D1" w:rsidRPr="008505B3" w:rsidRDefault="002352D1" w:rsidP="002E0F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1647" w:type="dxa"/>
          </w:tcPr>
          <w:p w:rsidR="002352D1" w:rsidRPr="008505B3" w:rsidRDefault="002352D1" w:rsidP="002E0F1B">
            <w:pPr>
              <w:pStyle w:val="ConsPlusNormal"/>
              <w:ind w:left="-62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Задолженность (указать, на какую дату)</w:t>
            </w:r>
          </w:p>
        </w:tc>
        <w:tc>
          <w:tcPr>
            <w:tcW w:w="1614" w:type="dxa"/>
          </w:tcPr>
          <w:p w:rsidR="002352D1" w:rsidRPr="008505B3" w:rsidRDefault="002352D1" w:rsidP="002E0F1B">
            <w:pPr>
              <w:pStyle w:val="ConsPlusNormal"/>
              <w:ind w:left="-8" w:right="-62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задолженность</w:t>
            </w:r>
          </w:p>
        </w:tc>
        <w:tc>
          <w:tcPr>
            <w:tcW w:w="708" w:type="dxa"/>
          </w:tcPr>
          <w:p w:rsidR="002352D1" w:rsidRPr="008505B3" w:rsidRDefault="002352D1" w:rsidP="002E0F1B">
            <w:pPr>
              <w:pStyle w:val="ConsPlusNormal"/>
              <w:ind w:left="-12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52D1" w:rsidRPr="008505B3" w:rsidTr="002E0F1B">
        <w:tc>
          <w:tcPr>
            <w:tcW w:w="926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352D1" w:rsidRPr="008505B3" w:rsidRDefault="002352D1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52D1" w:rsidRPr="008505B3" w:rsidRDefault="002352D1" w:rsidP="0023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0607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Годовые </w:t>
      </w: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175E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B">
        <w:rPr>
          <w:rFonts w:ascii="Times New Roman" w:hAnsi="Times New Roman" w:cs="Times New Roman"/>
          <w:sz w:val="28"/>
          <w:szCs w:val="28"/>
        </w:rPr>
        <w:t>содержание предприятия (планово-определенные, условно-определенные сделки, индивидуальные)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B">
        <w:rPr>
          <w:rFonts w:ascii="Times New Roman" w:hAnsi="Times New Roman" w:cs="Times New Roman"/>
          <w:sz w:val="28"/>
          <w:szCs w:val="28"/>
        </w:rPr>
        <w:t>_________ тыс. руб. (приложение 1).</w:t>
      </w:r>
    </w:p>
    <w:p w:rsidR="002352D1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175EAB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   ___________</w:t>
      </w:r>
    </w:p>
    <w:p w:rsidR="002352D1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75EAB">
        <w:rPr>
          <w:rFonts w:ascii="Times New Roman" w:hAnsi="Times New Roman" w:cs="Times New Roman"/>
          <w:sz w:val="28"/>
          <w:szCs w:val="28"/>
        </w:rPr>
        <w:t xml:space="preserve">(подпись)       </w:t>
      </w:r>
    </w:p>
    <w:p w:rsidR="002352D1" w:rsidRDefault="002352D1" w:rsidP="002352D1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175EAB" w:rsidRDefault="002352D1" w:rsidP="002352D1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>М.П.</w:t>
      </w:r>
    </w:p>
    <w:p w:rsidR="002352D1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2D1" w:rsidRPr="00175EAB" w:rsidRDefault="002352D1" w:rsidP="00235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Главный бухгалтер муниципального унитарного предприятия _________                                                                            </w:t>
      </w:r>
    </w:p>
    <w:p w:rsidR="002352D1" w:rsidRDefault="002352D1" w:rsidP="002352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75EAB">
        <w:rPr>
          <w:rFonts w:ascii="Times New Roman" w:hAnsi="Times New Roman" w:cs="Times New Roman"/>
          <w:sz w:val="28"/>
          <w:szCs w:val="28"/>
        </w:rPr>
        <w:t>(подпись)</w:t>
      </w:r>
      <w:bookmarkStart w:id="9" w:name="P1768"/>
      <w:bookmarkEnd w:id="9"/>
    </w:p>
    <w:p w:rsidR="002E0F1B" w:rsidRDefault="002E0F1B"/>
    <w:sectPr w:rsidR="002E0F1B" w:rsidSect="00AA5B5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FB6"/>
    <w:multiLevelType w:val="hybridMultilevel"/>
    <w:tmpl w:val="9F6446D2"/>
    <w:lvl w:ilvl="0" w:tplc="BF6660C4">
      <w:start w:val="1"/>
      <w:numFmt w:val="decimal"/>
      <w:lvlText w:val="%1."/>
      <w:lvlJc w:val="left"/>
      <w:pPr>
        <w:ind w:left="6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08146D0"/>
    <w:multiLevelType w:val="hybridMultilevel"/>
    <w:tmpl w:val="AA5050B2"/>
    <w:lvl w:ilvl="0" w:tplc="05224294">
      <w:start w:val="16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A5734D1"/>
    <w:multiLevelType w:val="hybridMultilevel"/>
    <w:tmpl w:val="9B2A0826"/>
    <w:lvl w:ilvl="0" w:tplc="1DD601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B068B"/>
    <w:multiLevelType w:val="hybridMultilevel"/>
    <w:tmpl w:val="DD0223FE"/>
    <w:lvl w:ilvl="0" w:tplc="5590DC24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2735159"/>
    <w:multiLevelType w:val="multilevel"/>
    <w:tmpl w:val="A6E8A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1A07C5"/>
    <w:multiLevelType w:val="hybridMultilevel"/>
    <w:tmpl w:val="F16C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19C5"/>
    <w:multiLevelType w:val="hybridMultilevel"/>
    <w:tmpl w:val="2C4A68EA"/>
    <w:lvl w:ilvl="0" w:tplc="FE2EE03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74F5421"/>
    <w:multiLevelType w:val="hybridMultilevel"/>
    <w:tmpl w:val="A6D81DBA"/>
    <w:lvl w:ilvl="0" w:tplc="6DA0ED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370B1"/>
    <w:multiLevelType w:val="hybridMultilevel"/>
    <w:tmpl w:val="4D9CC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6537"/>
    <w:multiLevelType w:val="multilevel"/>
    <w:tmpl w:val="081C5F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A2B470E"/>
    <w:multiLevelType w:val="multilevel"/>
    <w:tmpl w:val="6B48071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5DC4418"/>
    <w:multiLevelType w:val="hybridMultilevel"/>
    <w:tmpl w:val="E7DA5DAA"/>
    <w:lvl w:ilvl="0" w:tplc="3E2EF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1"/>
    <w:rsid w:val="00003DBE"/>
    <w:rsid w:val="00060729"/>
    <w:rsid w:val="000A7A78"/>
    <w:rsid w:val="001261A3"/>
    <w:rsid w:val="002352D1"/>
    <w:rsid w:val="00235B7B"/>
    <w:rsid w:val="002E0F1B"/>
    <w:rsid w:val="0057584E"/>
    <w:rsid w:val="0087419F"/>
    <w:rsid w:val="00AA5B52"/>
    <w:rsid w:val="00D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EA3F-97EE-48EC-BB4C-C2C5354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D1"/>
  </w:style>
  <w:style w:type="paragraph" w:styleId="1">
    <w:name w:val="heading 1"/>
    <w:basedOn w:val="a"/>
    <w:next w:val="a"/>
    <w:link w:val="10"/>
    <w:qFormat/>
    <w:rsid w:val="00235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D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23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352D1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locked/>
    <w:rsid w:val="002352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52D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character" w:styleId="a3">
    <w:name w:val="annotation reference"/>
    <w:basedOn w:val="a0"/>
    <w:uiPriority w:val="99"/>
    <w:semiHidden/>
    <w:unhideWhenUsed/>
    <w:rsid w:val="002352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52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352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52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352D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2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2D1"/>
  </w:style>
  <w:style w:type="paragraph" w:styleId="ad">
    <w:name w:val="footer"/>
    <w:basedOn w:val="a"/>
    <w:link w:val="ae"/>
    <w:uiPriority w:val="99"/>
    <w:unhideWhenUsed/>
    <w:rsid w:val="0023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2D1"/>
  </w:style>
  <w:style w:type="paragraph" w:styleId="af">
    <w:name w:val="List Paragraph"/>
    <w:basedOn w:val="a"/>
    <w:uiPriority w:val="34"/>
    <w:qFormat/>
    <w:rsid w:val="002352D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35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564F029E27EBE0A738596B59A427D04BA3E272BEBAF13B6DFB276B8E455F9D73BA9CC3AX372H" TargetMode="External"/><Relationship Id="rId5" Type="http://schemas.openxmlformats.org/officeDocument/2006/relationships/hyperlink" Target="consultantplus://offline/ref=7C5564F029E27EBE0A738596B59A427D04BA3E272BEBAF13B6DFB276B8E455F9D73BA9CC3AX37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Общие положения</vt:lpstr>
      <vt:lpstr>    </vt:lpstr>
      <vt:lpstr>    2. Компетенция участников процесса планирования</vt:lpstr>
      <vt:lpstr>    3. Организация планирования и контроля</vt:lpstr>
      <vt:lpstr>    4. Требования к Плану ФХД муниципального предприятия</vt:lpstr>
      <vt:lpstr>        Раздел I. Краткая характеристика хода реализации Плана</vt:lpstr>
      <vt:lpstr>        Раздел II. Мероприятия по развитию предприятия</vt:lpstr>
      <vt:lpstr>        Раздел III. Бюджет предприятия на планируемый период</vt:lpstr>
      <vt:lpstr>        Раздел V. Показатели финансового состояния предприятия</vt:lpstr>
      <vt:lpstr>        Раздел VI. Сведения о кредитах и займах предприятия</vt:lpstr>
    </vt:vector>
  </TitlesOfParts>
  <Company/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Гольдштейн Александр Владимирович</dc:creator>
  <cp:keywords/>
  <dc:description>exif_MSED_1cca5ccdd33eefee93a9cf653add00b70bcba428bd0e963600e9a579fd0dd325</dc:description>
  <cp:lastModifiedBy>Шеффель Илья Георгиевич</cp:lastModifiedBy>
  <cp:revision>9</cp:revision>
  <dcterms:created xsi:type="dcterms:W3CDTF">2021-04-27T14:57:00Z</dcterms:created>
  <dcterms:modified xsi:type="dcterms:W3CDTF">2021-07-13T08:55:00Z</dcterms:modified>
</cp:coreProperties>
</file>